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DA" w:rsidRDefault="00E2457C" w:rsidP="00DE6C89">
      <w:pPr>
        <w:pStyle w:val="Heading1"/>
      </w:pPr>
      <w:r>
        <w:t>ECE/ENGR</w:t>
      </w:r>
      <w:r w:rsidR="0072114C">
        <w:t xml:space="preserve"> 162</w:t>
      </w:r>
      <w:r w:rsidR="00EA0DD3">
        <w:t>0 – Introduction to Engineering I</w:t>
      </w:r>
      <w:r w:rsidR="0072114C">
        <w:t>I</w:t>
      </w:r>
    </w:p>
    <w:p w:rsidR="00EA0DD3" w:rsidRDefault="00EA0DD3" w:rsidP="00DE6C89">
      <w:pPr>
        <w:pStyle w:val="Heading2"/>
      </w:pPr>
      <w:r>
        <w:t>Course Description</w:t>
      </w:r>
    </w:p>
    <w:p w:rsidR="00EA0DD3" w:rsidRDefault="00E2457C" w:rsidP="00DE6C89">
      <w:pPr>
        <w:pStyle w:val="Heading3"/>
      </w:pPr>
      <w:r>
        <w:t>ECE/ENGR</w:t>
      </w:r>
      <w:r w:rsidR="0072114C">
        <w:t xml:space="preserve"> 162</w:t>
      </w:r>
      <w:r w:rsidR="00EA0DD3">
        <w:t>0 – Introduction to Engineering I</w:t>
      </w:r>
      <w:r w:rsidR="0072114C">
        <w:t>I</w:t>
      </w:r>
      <w:r w:rsidR="00EA0DD3">
        <w:t xml:space="preserve"> (2)</w:t>
      </w:r>
    </w:p>
    <w:p w:rsidR="00EA0DD3" w:rsidRPr="0072114C" w:rsidRDefault="0072114C" w:rsidP="0072114C">
      <w:pPr>
        <w:rPr>
          <w:b/>
        </w:rPr>
      </w:pPr>
      <w:r>
        <w:t xml:space="preserve">This course builds on the foundational skills in engineering design and practices developed in </w:t>
      </w:r>
      <w:r w:rsidR="00E2457C">
        <w:t>ECE/</w:t>
      </w:r>
      <w:r>
        <w:t>ENGR</w:t>
      </w:r>
      <w:r w:rsidR="00E2457C">
        <w:t xml:space="preserve"> 1618</w:t>
      </w:r>
      <w:r>
        <w:t xml:space="preserve">.  Students will design, build, test, and present engineering projects designed to solve specified problems within given constraints.  Additionally, the impact of engineering from a global, social, economic, and </w:t>
      </w:r>
      <w:r w:rsidR="00CA3887">
        <w:t>environmental</w:t>
      </w:r>
      <w:r>
        <w:t xml:space="preserve"> perspective is presented through case studies.  </w:t>
      </w:r>
      <w:r w:rsidR="00E2457C">
        <w:rPr>
          <w:b/>
        </w:rPr>
        <w:t>Prerequisite: ECE/ENGR 1618</w:t>
      </w:r>
    </w:p>
    <w:p w:rsidR="00171894" w:rsidRDefault="00171894" w:rsidP="00DE6C89">
      <w:pPr>
        <w:pStyle w:val="Heading2"/>
      </w:pPr>
      <w:r>
        <w:t>Prerequisite by Topic</w:t>
      </w:r>
    </w:p>
    <w:p w:rsidR="00171894" w:rsidRDefault="0072114C" w:rsidP="00DE6C89">
      <w:r>
        <w:t>Introduction to engineering design, instrumentation, tools, and safety</w:t>
      </w:r>
    </w:p>
    <w:p w:rsidR="00171894" w:rsidRDefault="00171894" w:rsidP="00DE6C89">
      <w:pPr>
        <w:pStyle w:val="Heading2"/>
      </w:pPr>
      <w:r>
        <w:t>Units and Contact Time</w:t>
      </w:r>
    </w:p>
    <w:p w:rsidR="00171894" w:rsidRDefault="00171894" w:rsidP="00DE6C89">
      <w:proofErr w:type="gramStart"/>
      <w:r>
        <w:t>2 semester units.</w:t>
      </w:r>
      <w:proofErr w:type="gramEnd"/>
      <w:r>
        <w:t xml:space="preserve"> 2 units lecture (100 minutes).</w:t>
      </w:r>
    </w:p>
    <w:p w:rsidR="00171894" w:rsidRDefault="00171894" w:rsidP="00DE6C89">
      <w:pPr>
        <w:pStyle w:val="Heading2"/>
      </w:pPr>
      <w:r>
        <w:t>Type</w:t>
      </w:r>
    </w:p>
    <w:p w:rsidR="00171894" w:rsidRDefault="00171894" w:rsidP="00DE6C89">
      <w:r>
        <w:t>Req</w:t>
      </w:r>
      <w:r w:rsidR="0072114C">
        <w:t xml:space="preserve">uired for </w:t>
      </w:r>
      <w:r>
        <w:t>Electrical Engin</w:t>
      </w:r>
      <w:r w:rsidR="0072114C">
        <w:t>eering</w:t>
      </w:r>
      <w:r>
        <w:t xml:space="preserve"> and Engineering Science</w:t>
      </w:r>
    </w:p>
    <w:p w:rsidR="0072114C" w:rsidRDefault="0072114C" w:rsidP="00DE6C89">
      <w:r>
        <w:t>Elective for Computer Engineering</w:t>
      </w:r>
    </w:p>
    <w:p w:rsidR="00171894" w:rsidRDefault="00171894" w:rsidP="00DE6C89">
      <w:pPr>
        <w:pStyle w:val="Heading2"/>
      </w:pPr>
      <w:r>
        <w:t>Required Textbook</w:t>
      </w:r>
    </w:p>
    <w:p w:rsidR="00171894" w:rsidRDefault="00171894" w:rsidP="00DE6C89">
      <w:r>
        <w:t>No textbook is required for this course.</w:t>
      </w:r>
    </w:p>
    <w:p w:rsidR="00171894" w:rsidRDefault="00171894" w:rsidP="00DE6C89">
      <w:pPr>
        <w:pStyle w:val="Heading2"/>
      </w:pPr>
      <w:r>
        <w:t>Recommended Textbook and Other Supplementary Material</w:t>
      </w:r>
    </w:p>
    <w:p w:rsidR="00171894" w:rsidRDefault="00171894" w:rsidP="00DE6C89">
      <w:pPr>
        <w:rPr>
          <w:iCs/>
        </w:rPr>
      </w:pPr>
      <w:r>
        <w:rPr>
          <w:iCs/>
        </w:rPr>
        <w:t>Other supplementary materials (handouts, articles</w:t>
      </w:r>
      <w:r w:rsidR="0093024D">
        <w:rPr>
          <w:iCs/>
        </w:rPr>
        <w:t>, etc.</w:t>
      </w:r>
      <w:r>
        <w:rPr>
          <w:iCs/>
        </w:rPr>
        <w:t>) will be available in class and on the course website.</w:t>
      </w:r>
    </w:p>
    <w:p w:rsidR="00171894" w:rsidRDefault="00171894" w:rsidP="00DE6C89">
      <w:pPr>
        <w:pStyle w:val="Heading2"/>
      </w:pPr>
      <w:r>
        <w:t>Coordinator(s)</w:t>
      </w:r>
    </w:p>
    <w:p w:rsidR="00171894" w:rsidRDefault="00171894" w:rsidP="00DE6C89">
      <w:r>
        <w:t xml:space="preserve">Melissa Danforth (ECE), Jorge </w:t>
      </w:r>
      <w:proofErr w:type="spellStart"/>
      <w:r>
        <w:t>Talamantes</w:t>
      </w:r>
      <w:proofErr w:type="spellEnd"/>
      <w:r>
        <w:t xml:space="preserve"> (ENGR)</w:t>
      </w:r>
    </w:p>
    <w:p w:rsidR="00171894" w:rsidRDefault="00171894" w:rsidP="00DE6C89">
      <w:pPr>
        <w:pStyle w:val="Heading2"/>
      </w:pPr>
      <w:r>
        <w:t>Student Learning Outcomes</w:t>
      </w:r>
    </w:p>
    <w:p w:rsidR="00171894" w:rsidRDefault="00171894" w:rsidP="00DE6C89">
      <w:r>
        <w:t>Upon completion of this course, students will be able to:</w:t>
      </w:r>
    </w:p>
    <w:p w:rsidR="00DE6C89" w:rsidRDefault="00DE6C89" w:rsidP="00DE6C89">
      <w:pPr>
        <w:pStyle w:val="ListParagraph"/>
        <w:numPr>
          <w:ilvl w:val="0"/>
          <w:numId w:val="1"/>
        </w:numPr>
        <w:ind w:left="720"/>
      </w:pPr>
      <w:r>
        <w:t>Describe the role of engineers in society and analyze the impact of engineering decisions.</w:t>
      </w:r>
    </w:p>
    <w:p w:rsidR="00096E6C" w:rsidRDefault="00096E6C" w:rsidP="00DE6C89">
      <w:pPr>
        <w:pStyle w:val="ListParagraph"/>
        <w:numPr>
          <w:ilvl w:val="0"/>
          <w:numId w:val="1"/>
        </w:numPr>
        <w:ind w:left="720"/>
      </w:pPr>
      <w:r>
        <w:t>Describe the responsibilities of engineers.</w:t>
      </w:r>
    </w:p>
    <w:p w:rsidR="00DE6C89" w:rsidRDefault="00DE6C89" w:rsidP="00DE6C89">
      <w:pPr>
        <w:pStyle w:val="ListParagraph"/>
        <w:numPr>
          <w:ilvl w:val="0"/>
          <w:numId w:val="1"/>
        </w:numPr>
        <w:ind w:left="720"/>
      </w:pPr>
      <w:r>
        <w:t>Analyze engineering problems and apply design principles to a design project.</w:t>
      </w:r>
    </w:p>
    <w:p w:rsidR="00DE6C89" w:rsidRDefault="00DE6C89" w:rsidP="00DE6C89">
      <w:pPr>
        <w:pStyle w:val="ListParagraph"/>
        <w:numPr>
          <w:ilvl w:val="0"/>
          <w:numId w:val="1"/>
        </w:numPr>
        <w:ind w:left="720"/>
      </w:pPr>
      <w:r>
        <w:t>Work effectively on teams to complete an engineering design project.</w:t>
      </w:r>
    </w:p>
    <w:p w:rsidR="0072114C" w:rsidRDefault="0072114C" w:rsidP="00DE6C89">
      <w:pPr>
        <w:pStyle w:val="ListParagraph"/>
        <w:numPr>
          <w:ilvl w:val="0"/>
          <w:numId w:val="1"/>
        </w:numPr>
        <w:ind w:left="720"/>
      </w:pPr>
      <w:r>
        <w:t>Divide a project into manageable tasks and balance the load among team members.</w:t>
      </w:r>
    </w:p>
    <w:p w:rsidR="00096E6C" w:rsidRDefault="00096E6C" w:rsidP="00DE6C89">
      <w:pPr>
        <w:pStyle w:val="ListParagraph"/>
        <w:numPr>
          <w:ilvl w:val="0"/>
          <w:numId w:val="1"/>
        </w:numPr>
        <w:ind w:left="720"/>
      </w:pPr>
      <w:r>
        <w:t>Participate in group meetings, meet deadlines, and achieve project goals.</w:t>
      </w:r>
    </w:p>
    <w:p w:rsidR="00361FD9" w:rsidRDefault="00DE6C89" w:rsidP="0072114C">
      <w:pPr>
        <w:pStyle w:val="ListParagraph"/>
        <w:numPr>
          <w:ilvl w:val="0"/>
          <w:numId w:val="1"/>
        </w:numPr>
        <w:ind w:left="720"/>
      </w:pPr>
      <w:r>
        <w:t xml:space="preserve">Prepare effective written and oral reports on projects. </w:t>
      </w:r>
    </w:p>
    <w:p w:rsidR="00361FD9" w:rsidRDefault="00502345" w:rsidP="00DE6C89">
      <w:pPr>
        <w:pStyle w:val="Heading2"/>
      </w:pPr>
      <w:r>
        <w:t>ABET Outcome Coverage</w:t>
      </w:r>
    </w:p>
    <w:p w:rsidR="00502345" w:rsidRDefault="00502345" w:rsidP="00DE6C89">
      <w:r>
        <w:t>This course maps to the following outcomes for engineering (EAC/ABET):</w:t>
      </w:r>
    </w:p>
    <w:p w:rsidR="00502345" w:rsidRDefault="00502345" w:rsidP="00DE6C89">
      <w:r>
        <w:rPr>
          <w:i/>
        </w:rPr>
        <w:t xml:space="preserve">3f. </w:t>
      </w:r>
      <w:proofErr w:type="gramStart"/>
      <w:r w:rsidRPr="00502345">
        <w:rPr>
          <w:i/>
        </w:rPr>
        <w:t>An</w:t>
      </w:r>
      <w:proofErr w:type="gramEnd"/>
      <w:r w:rsidRPr="00502345">
        <w:rPr>
          <w:i/>
        </w:rPr>
        <w:t xml:space="preserve"> understanding of professional and ethical responsibility.</w:t>
      </w:r>
    </w:p>
    <w:p w:rsidR="00502345" w:rsidRDefault="00502345" w:rsidP="00DE6C89">
      <w:pPr>
        <w:pStyle w:val="Quote"/>
      </w:pPr>
      <w:r>
        <w:t>Students will develop an understanding of professional and ethical responsibilities through presentations by practicing engineers and case studies.</w:t>
      </w:r>
    </w:p>
    <w:p w:rsidR="00DE6C89" w:rsidRPr="00DE6C89" w:rsidRDefault="00DE6C89" w:rsidP="00DE6C89">
      <w:pPr>
        <w:rPr>
          <w:i/>
        </w:rPr>
      </w:pPr>
      <w:r w:rsidRPr="00DE6C89">
        <w:rPr>
          <w:i/>
        </w:rPr>
        <w:t xml:space="preserve">3g. </w:t>
      </w:r>
      <w:proofErr w:type="gramStart"/>
      <w:r w:rsidRPr="00DE6C89">
        <w:rPr>
          <w:i/>
        </w:rPr>
        <w:t>An</w:t>
      </w:r>
      <w:proofErr w:type="gramEnd"/>
      <w:r w:rsidRPr="00DE6C89">
        <w:rPr>
          <w:i/>
        </w:rPr>
        <w:t xml:space="preserve"> ability to communicate effectively.</w:t>
      </w:r>
    </w:p>
    <w:p w:rsidR="00DE6C89" w:rsidRPr="00DE6C89" w:rsidRDefault="00DE6C89" w:rsidP="00DE6C89">
      <w:pPr>
        <w:pStyle w:val="Quote"/>
      </w:pPr>
      <w:r>
        <w:t>Written and oral project reports will require effective communication of projects undertaken during the course.</w:t>
      </w:r>
    </w:p>
    <w:p w:rsidR="00502345" w:rsidRDefault="00502345" w:rsidP="00DE6C89">
      <w:r w:rsidRPr="00502345">
        <w:rPr>
          <w:i/>
        </w:rPr>
        <w:lastRenderedPageBreak/>
        <w:t xml:space="preserve">3h. </w:t>
      </w:r>
      <w:proofErr w:type="gramStart"/>
      <w:r w:rsidRPr="00502345">
        <w:rPr>
          <w:i/>
        </w:rPr>
        <w:t>The</w:t>
      </w:r>
      <w:proofErr w:type="gramEnd"/>
      <w:r w:rsidRPr="00502345">
        <w:rPr>
          <w:i/>
        </w:rPr>
        <w:t xml:space="preserve"> broad education necessary to understand the impact of engineering solutions in a global economic, environmental, and societal context.</w:t>
      </w:r>
    </w:p>
    <w:p w:rsidR="00502345" w:rsidRDefault="00502345" w:rsidP="00DE6C89">
      <w:pPr>
        <w:pStyle w:val="Quote"/>
      </w:pPr>
      <w:r>
        <w:t>Assignments will be used to provide an understanding of how engineering fits into a global context</w:t>
      </w:r>
      <w:r w:rsidR="00DE6C89">
        <w:t xml:space="preserve"> </w:t>
      </w:r>
      <w:r w:rsidR="00DE6C89" w:rsidRPr="00DE6C89">
        <w:t>and to analyze the impact of decisions</w:t>
      </w:r>
      <w:r>
        <w:t>.</w:t>
      </w:r>
    </w:p>
    <w:p w:rsidR="00502345" w:rsidRDefault="00502345" w:rsidP="00DE6C89">
      <w:pPr>
        <w:pStyle w:val="Heading2"/>
      </w:pPr>
      <w:r>
        <w:t>Lecture Topics and Rough Schedule</w:t>
      </w:r>
    </w:p>
    <w:tbl>
      <w:tblPr>
        <w:tblStyle w:val="TableGrid"/>
        <w:tblW w:w="0" w:type="auto"/>
        <w:tblInd w:w="360" w:type="dxa"/>
        <w:tblLook w:val="04A0" w:firstRow="1" w:lastRow="0" w:firstColumn="1" w:lastColumn="0" w:noHBand="0" w:noVBand="1"/>
      </w:tblPr>
      <w:tblGrid>
        <w:gridCol w:w="828"/>
        <w:gridCol w:w="4050"/>
        <w:gridCol w:w="4338"/>
      </w:tblGrid>
      <w:tr w:rsidR="00502345" w:rsidTr="00502345">
        <w:tc>
          <w:tcPr>
            <w:tcW w:w="828" w:type="dxa"/>
          </w:tcPr>
          <w:p w:rsidR="00502345" w:rsidRPr="00F547B9" w:rsidRDefault="00502345" w:rsidP="00DE6C89">
            <w:pPr>
              <w:ind w:left="0"/>
              <w:rPr>
                <w:b/>
              </w:rPr>
            </w:pPr>
            <w:r w:rsidRPr="00F547B9">
              <w:rPr>
                <w:b/>
              </w:rPr>
              <w:t>Week</w:t>
            </w:r>
          </w:p>
        </w:tc>
        <w:tc>
          <w:tcPr>
            <w:tcW w:w="4050" w:type="dxa"/>
          </w:tcPr>
          <w:p w:rsidR="00502345" w:rsidRPr="00F547B9" w:rsidRDefault="00502345" w:rsidP="00DE6C89">
            <w:pPr>
              <w:ind w:left="0"/>
              <w:rPr>
                <w:b/>
              </w:rPr>
            </w:pPr>
            <w:r w:rsidRPr="00F547B9">
              <w:rPr>
                <w:b/>
              </w:rPr>
              <w:t>First Class Period</w:t>
            </w:r>
          </w:p>
        </w:tc>
        <w:tc>
          <w:tcPr>
            <w:tcW w:w="4338" w:type="dxa"/>
          </w:tcPr>
          <w:p w:rsidR="00502345" w:rsidRPr="00F547B9" w:rsidRDefault="00502345" w:rsidP="00DE6C89">
            <w:pPr>
              <w:ind w:left="0"/>
              <w:rPr>
                <w:b/>
              </w:rPr>
            </w:pPr>
            <w:r w:rsidRPr="00F547B9">
              <w:rPr>
                <w:b/>
              </w:rPr>
              <w:t>Second Class Period</w:t>
            </w:r>
          </w:p>
        </w:tc>
      </w:tr>
      <w:tr w:rsidR="00502345" w:rsidTr="00502345">
        <w:tc>
          <w:tcPr>
            <w:tcW w:w="828" w:type="dxa"/>
          </w:tcPr>
          <w:p w:rsidR="00502345" w:rsidRDefault="00502345" w:rsidP="00DE6C89">
            <w:pPr>
              <w:ind w:left="0"/>
            </w:pPr>
            <w:r>
              <w:t>1</w:t>
            </w:r>
          </w:p>
        </w:tc>
        <w:tc>
          <w:tcPr>
            <w:tcW w:w="4050" w:type="dxa"/>
          </w:tcPr>
          <w:p w:rsidR="00F547B9" w:rsidRDefault="0066102D" w:rsidP="00DE6C89">
            <w:pPr>
              <w:ind w:left="0"/>
            </w:pPr>
            <w:r>
              <w:t>Introduction to the “</w:t>
            </w:r>
            <w:proofErr w:type="spellStart"/>
            <w:r>
              <w:t>FabLab</w:t>
            </w:r>
            <w:proofErr w:type="spellEnd"/>
            <w:r>
              <w:t>”</w:t>
            </w:r>
          </w:p>
          <w:p w:rsidR="0066102D" w:rsidRDefault="0066102D" w:rsidP="00DE6C89">
            <w:pPr>
              <w:ind w:left="0"/>
            </w:pPr>
            <w:r>
              <w:t>Safety in the Laboratory</w:t>
            </w:r>
          </w:p>
        </w:tc>
        <w:tc>
          <w:tcPr>
            <w:tcW w:w="4338" w:type="dxa"/>
          </w:tcPr>
          <w:p w:rsidR="00502345" w:rsidRDefault="0066102D" w:rsidP="00DE6C89">
            <w:pPr>
              <w:ind w:left="0"/>
            </w:pPr>
            <w:r>
              <w:t>Intro. to Computer Aided Design (CAD)</w:t>
            </w:r>
          </w:p>
        </w:tc>
      </w:tr>
      <w:tr w:rsidR="00502345" w:rsidTr="00502345">
        <w:tc>
          <w:tcPr>
            <w:tcW w:w="828" w:type="dxa"/>
          </w:tcPr>
          <w:p w:rsidR="00502345" w:rsidRDefault="00F547B9" w:rsidP="00DE6C89">
            <w:pPr>
              <w:ind w:left="0"/>
            </w:pPr>
            <w:r>
              <w:t>2</w:t>
            </w:r>
          </w:p>
        </w:tc>
        <w:tc>
          <w:tcPr>
            <w:tcW w:w="4050" w:type="dxa"/>
          </w:tcPr>
          <w:p w:rsidR="00F547B9" w:rsidRDefault="0066102D" w:rsidP="00DE6C89">
            <w:pPr>
              <w:ind w:left="0"/>
            </w:pPr>
            <w:r>
              <w:t>Continue with CAD</w:t>
            </w:r>
          </w:p>
        </w:tc>
        <w:tc>
          <w:tcPr>
            <w:tcW w:w="4338" w:type="dxa"/>
          </w:tcPr>
          <w:p w:rsidR="00502345" w:rsidRDefault="0066102D" w:rsidP="00DE6C89">
            <w:pPr>
              <w:ind w:left="0"/>
            </w:pPr>
            <w:r>
              <w:t>Begin Project 1</w:t>
            </w:r>
          </w:p>
        </w:tc>
      </w:tr>
      <w:tr w:rsidR="00502345" w:rsidTr="00502345">
        <w:tc>
          <w:tcPr>
            <w:tcW w:w="828" w:type="dxa"/>
          </w:tcPr>
          <w:p w:rsidR="00502345" w:rsidRDefault="00F547B9" w:rsidP="00DE6C89">
            <w:pPr>
              <w:ind w:left="0"/>
            </w:pPr>
            <w:r>
              <w:t>3</w:t>
            </w:r>
          </w:p>
        </w:tc>
        <w:tc>
          <w:tcPr>
            <w:tcW w:w="4050" w:type="dxa"/>
          </w:tcPr>
          <w:p w:rsidR="00502345" w:rsidRDefault="0066102D" w:rsidP="00DE6C89">
            <w:pPr>
              <w:ind w:left="0"/>
            </w:pPr>
            <w:r>
              <w:t>Continue with CAD</w:t>
            </w:r>
          </w:p>
        </w:tc>
        <w:tc>
          <w:tcPr>
            <w:tcW w:w="4338" w:type="dxa"/>
          </w:tcPr>
          <w:p w:rsidR="00502345" w:rsidRDefault="0066102D" w:rsidP="00DE6C89">
            <w:pPr>
              <w:ind w:left="0"/>
            </w:pPr>
            <w:r>
              <w:t>Continue Project 1</w:t>
            </w:r>
          </w:p>
        </w:tc>
      </w:tr>
      <w:tr w:rsidR="0066102D" w:rsidTr="00502345">
        <w:tc>
          <w:tcPr>
            <w:tcW w:w="828" w:type="dxa"/>
          </w:tcPr>
          <w:p w:rsidR="0066102D" w:rsidRDefault="0066102D" w:rsidP="00DE6C89">
            <w:pPr>
              <w:ind w:left="0"/>
            </w:pPr>
            <w:r>
              <w:t>4</w:t>
            </w:r>
          </w:p>
        </w:tc>
        <w:tc>
          <w:tcPr>
            <w:tcW w:w="4050" w:type="dxa"/>
          </w:tcPr>
          <w:p w:rsidR="0066102D" w:rsidRDefault="0066102D" w:rsidP="008F7FD0">
            <w:pPr>
              <w:ind w:left="0"/>
            </w:pPr>
            <w:r>
              <w:t>Continue with CAD</w:t>
            </w:r>
          </w:p>
        </w:tc>
        <w:tc>
          <w:tcPr>
            <w:tcW w:w="4338" w:type="dxa"/>
          </w:tcPr>
          <w:p w:rsidR="0066102D" w:rsidRDefault="0066102D" w:rsidP="008F7FD0">
            <w:pPr>
              <w:ind w:left="0"/>
            </w:pPr>
            <w:r>
              <w:t>Continue Project 1</w:t>
            </w:r>
          </w:p>
        </w:tc>
      </w:tr>
      <w:tr w:rsidR="0066102D" w:rsidTr="00502345">
        <w:tc>
          <w:tcPr>
            <w:tcW w:w="828" w:type="dxa"/>
          </w:tcPr>
          <w:p w:rsidR="0066102D" w:rsidRDefault="0066102D" w:rsidP="00DE6C89">
            <w:pPr>
              <w:ind w:left="0"/>
            </w:pPr>
            <w:r>
              <w:t>5</w:t>
            </w:r>
          </w:p>
        </w:tc>
        <w:tc>
          <w:tcPr>
            <w:tcW w:w="4050" w:type="dxa"/>
          </w:tcPr>
          <w:p w:rsidR="0066102D" w:rsidRDefault="0066102D" w:rsidP="00DE6C89">
            <w:pPr>
              <w:ind w:left="0"/>
            </w:pPr>
            <w:r>
              <w:t>Case Study on Professionalism</w:t>
            </w:r>
          </w:p>
        </w:tc>
        <w:tc>
          <w:tcPr>
            <w:tcW w:w="4338" w:type="dxa"/>
          </w:tcPr>
          <w:p w:rsidR="0066102D" w:rsidRDefault="0066102D" w:rsidP="00DE6C89">
            <w:pPr>
              <w:ind w:left="0"/>
            </w:pPr>
            <w:r>
              <w:t>Continue Project 1</w:t>
            </w:r>
          </w:p>
        </w:tc>
      </w:tr>
      <w:tr w:rsidR="0066102D" w:rsidTr="00502345">
        <w:tc>
          <w:tcPr>
            <w:tcW w:w="828" w:type="dxa"/>
          </w:tcPr>
          <w:p w:rsidR="0066102D" w:rsidRDefault="0066102D" w:rsidP="00DE6C89">
            <w:pPr>
              <w:ind w:left="0"/>
            </w:pPr>
            <w:r>
              <w:t>6</w:t>
            </w:r>
          </w:p>
        </w:tc>
        <w:tc>
          <w:tcPr>
            <w:tcW w:w="4050" w:type="dxa"/>
          </w:tcPr>
          <w:p w:rsidR="0066102D" w:rsidRDefault="0066102D" w:rsidP="00DE6C89">
            <w:pPr>
              <w:ind w:left="0"/>
            </w:pPr>
            <w:r>
              <w:t>Career and Internship Resources</w:t>
            </w:r>
          </w:p>
        </w:tc>
        <w:tc>
          <w:tcPr>
            <w:tcW w:w="4338" w:type="dxa"/>
          </w:tcPr>
          <w:p w:rsidR="0066102D" w:rsidRDefault="0066102D" w:rsidP="00DE6C89">
            <w:pPr>
              <w:ind w:left="0"/>
            </w:pPr>
            <w:r>
              <w:t>Present Project 1</w:t>
            </w:r>
          </w:p>
        </w:tc>
      </w:tr>
      <w:tr w:rsidR="0066102D" w:rsidTr="00502345">
        <w:tc>
          <w:tcPr>
            <w:tcW w:w="828" w:type="dxa"/>
          </w:tcPr>
          <w:p w:rsidR="0066102D" w:rsidRDefault="0066102D" w:rsidP="00DE6C89">
            <w:pPr>
              <w:ind w:left="0"/>
            </w:pPr>
            <w:r>
              <w:t>7</w:t>
            </w:r>
          </w:p>
        </w:tc>
        <w:tc>
          <w:tcPr>
            <w:tcW w:w="4050" w:type="dxa"/>
          </w:tcPr>
          <w:p w:rsidR="0066102D" w:rsidRDefault="0066102D" w:rsidP="00DE6C89">
            <w:pPr>
              <w:ind w:left="0"/>
            </w:pPr>
            <w:r>
              <w:t xml:space="preserve">Intro. to </w:t>
            </w:r>
            <w:proofErr w:type="spellStart"/>
            <w:r>
              <w:t>Matlab</w:t>
            </w:r>
            <w:proofErr w:type="spellEnd"/>
          </w:p>
        </w:tc>
        <w:tc>
          <w:tcPr>
            <w:tcW w:w="4338" w:type="dxa"/>
          </w:tcPr>
          <w:p w:rsidR="0066102D" w:rsidRDefault="0066102D" w:rsidP="00DE6C89">
            <w:pPr>
              <w:ind w:left="0"/>
            </w:pPr>
            <w:r>
              <w:t>Academic Advising and Registration</w:t>
            </w:r>
          </w:p>
        </w:tc>
      </w:tr>
      <w:tr w:rsidR="0066102D" w:rsidTr="00502345">
        <w:tc>
          <w:tcPr>
            <w:tcW w:w="828" w:type="dxa"/>
          </w:tcPr>
          <w:p w:rsidR="0066102D" w:rsidRDefault="0066102D" w:rsidP="00DE6C89">
            <w:pPr>
              <w:ind w:left="0"/>
            </w:pPr>
            <w:r>
              <w:t>8</w:t>
            </w:r>
          </w:p>
        </w:tc>
        <w:tc>
          <w:tcPr>
            <w:tcW w:w="4050" w:type="dxa"/>
          </w:tcPr>
          <w:p w:rsidR="0066102D" w:rsidRDefault="0066102D" w:rsidP="00DE6C89">
            <w:pPr>
              <w:ind w:left="0"/>
            </w:pPr>
            <w:r>
              <w:t xml:space="preserve">Continue with </w:t>
            </w:r>
            <w:proofErr w:type="spellStart"/>
            <w:r>
              <w:t>Matlab</w:t>
            </w:r>
            <w:proofErr w:type="spellEnd"/>
          </w:p>
        </w:tc>
        <w:tc>
          <w:tcPr>
            <w:tcW w:w="4338" w:type="dxa"/>
          </w:tcPr>
          <w:p w:rsidR="0066102D" w:rsidRDefault="0066102D" w:rsidP="00DE6C89">
            <w:pPr>
              <w:ind w:left="0"/>
            </w:pPr>
            <w:r>
              <w:t>Begin Project 2</w:t>
            </w:r>
          </w:p>
        </w:tc>
      </w:tr>
      <w:tr w:rsidR="0066102D" w:rsidTr="00502345">
        <w:tc>
          <w:tcPr>
            <w:tcW w:w="828" w:type="dxa"/>
          </w:tcPr>
          <w:p w:rsidR="0066102D" w:rsidRDefault="0066102D" w:rsidP="00DE6C89">
            <w:pPr>
              <w:ind w:left="0"/>
            </w:pPr>
            <w:r>
              <w:t>9</w:t>
            </w:r>
          </w:p>
        </w:tc>
        <w:tc>
          <w:tcPr>
            <w:tcW w:w="4050" w:type="dxa"/>
          </w:tcPr>
          <w:p w:rsidR="0066102D" w:rsidRDefault="0066102D" w:rsidP="00DE6C89">
            <w:pPr>
              <w:ind w:left="0"/>
            </w:pPr>
            <w:r>
              <w:t xml:space="preserve">Continue with </w:t>
            </w:r>
            <w:proofErr w:type="spellStart"/>
            <w:r>
              <w:t>Matlab</w:t>
            </w:r>
            <w:proofErr w:type="spellEnd"/>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10</w:t>
            </w:r>
          </w:p>
        </w:tc>
        <w:tc>
          <w:tcPr>
            <w:tcW w:w="4050" w:type="dxa"/>
          </w:tcPr>
          <w:p w:rsidR="0066102D" w:rsidRDefault="0066102D" w:rsidP="0066102D">
            <w:pPr>
              <w:ind w:left="0"/>
            </w:pPr>
            <w:r>
              <w:t>Case Study on Engineering in a Societal</w:t>
            </w:r>
            <w:r w:rsidR="003C5954">
              <w:t>/Environmental</w:t>
            </w:r>
            <w:r>
              <w:t xml:space="preserve"> Context</w:t>
            </w:r>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11</w:t>
            </w:r>
          </w:p>
        </w:tc>
        <w:tc>
          <w:tcPr>
            <w:tcW w:w="4050" w:type="dxa"/>
          </w:tcPr>
          <w:p w:rsidR="0066102D" w:rsidRDefault="0066102D" w:rsidP="00DE6C89">
            <w:pPr>
              <w:ind w:left="0"/>
            </w:pPr>
            <w:r>
              <w:t xml:space="preserve">Continue with </w:t>
            </w:r>
            <w:proofErr w:type="spellStart"/>
            <w:r>
              <w:t>Matlab</w:t>
            </w:r>
            <w:proofErr w:type="spellEnd"/>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12</w:t>
            </w:r>
          </w:p>
        </w:tc>
        <w:tc>
          <w:tcPr>
            <w:tcW w:w="4050" w:type="dxa"/>
          </w:tcPr>
          <w:p w:rsidR="0066102D" w:rsidRDefault="0066102D" w:rsidP="00DE6C89">
            <w:pPr>
              <w:ind w:left="0"/>
            </w:pPr>
            <w:r>
              <w:t>Refresher on Report Writing</w:t>
            </w:r>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13</w:t>
            </w:r>
          </w:p>
        </w:tc>
        <w:tc>
          <w:tcPr>
            <w:tcW w:w="4050" w:type="dxa"/>
          </w:tcPr>
          <w:p w:rsidR="0066102D" w:rsidRDefault="0066102D" w:rsidP="00DE6C89">
            <w:pPr>
              <w:ind w:left="0"/>
            </w:pPr>
            <w:r>
              <w:t>Case Study on Engineering in a Global</w:t>
            </w:r>
            <w:r w:rsidR="003C5954">
              <w:t>/Economic</w:t>
            </w:r>
            <w:r>
              <w:t xml:space="preserve"> Context</w:t>
            </w:r>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14</w:t>
            </w:r>
          </w:p>
        </w:tc>
        <w:tc>
          <w:tcPr>
            <w:tcW w:w="4050" w:type="dxa"/>
          </w:tcPr>
          <w:p w:rsidR="0066102D" w:rsidRDefault="0066102D" w:rsidP="00DE6C89">
            <w:pPr>
              <w:ind w:left="0"/>
            </w:pPr>
            <w:r>
              <w:t>Safety and Engineering Responsibility</w:t>
            </w:r>
          </w:p>
        </w:tc>
        <w:tc>
          <w:tcPr>
            <w:tcW w:w="4338" w:type="dxa"/>
          </w:tcPr>
          <w:p w:rsidR="0066102D" w:rsidRDefault="0066102D" w:rsidP="00DE6C89">
            <w:pPr>
              <w:ind w:left="0"/>
            </w:pPr>
            <w:r>
              <w:t>Continue Project 2</w:t>
            </w:r>
          </w:p>
        </w:tc>
      </w:tr>
      <w:tr w:rsidR="0066102D" w:rsidTr="00502345">
        <w:tc>
          <w:tcPr>
            <w:tcW w:w="828" w:type="dxa"/>
          </w:tcPr>
          <w:p w:rsidR="0066102D" w:rsidRDefault="0066102D" w:rsidP="00DE6C89">
            <w:pPr>
              <w:ind w:left="0"/>
            </w:pPr>
            <w:r>
              <w:t>15</w:t>
            </w:r>
          </w:p>
        </w:tc>
        <w:tc>
          <w:tcPr>
            <w:tcW w:w="4050" w:type="dxa"/>
          </w:tcPr>
          <w:p w:rsidR="0066102D" w:rsidRDefault="0066102D" w:rsidP="00DE6C89">
            <w:pPr>
              <w:ind w:left="0"/>
            </w:pPr>
            <w:r>
              <w:t>Complete Project 2</w:t>
            </w:r>
          </w:p>
        </w:tc>
        <w:tc>
          <w:tcPr>
            <w:tcW w:w="4338" w:type="dxa"/>
          </w:tcPr>
          <w:p w:rsidR="0066102D" w:rsidRDefault="0066102D" w:rsidP="00DE6C89">
            <w:pPr>
              <w:ind w:left="0"/>
            </w:pPr>
            <w:r>
              <w:t>Present Project 2 and Turn in Report</w:t>
            </w:r>
          </w:p>
        </w:tc>
      </w:tr>
    </w:tbl>
    <w:p w:rsidR="00502345" w:rsidRDefault="00DE6C89" w:rsidP="00DE6C89">
      <w:pPr>
        <w:pStyle w:val="Heading2"/>
      </w:pPr>
      <w:r>
        <w:t>Design Content Description</w:t>
      </w:r>
    </w:p>
    <w:p w:rsidR="000A6B0D" w:rsidRDefault="00DE6C89" w:rsidP="00DE6C89">
      <w:r>
        <w:t>Students will complete introductory design projects and learn about engineering design.</w:t>
      </w:r>
      <w:r w:rsidR="000A6B0D">
        <w:t xml:space="preserve"> Students must demonstrate knowledge of appropriate safety procedures and complete the appropriate laboratory safety form before they will be allowed to work on the projects.</w:t>
      </w:r>
    </w:p>
    <w:p w:rsidR="0066102D" w:rsidRDefault="0066102D" w:rsidP="00DE6C89">
      <w:r>
        <w:t>Teamwork will be cruc</w:t>
      </w:r>
      <w:r w:rsidR="00A34C7F">
        <w:t>ial for projects in this course and students are expected to be good team members (e.g. attend class, participate civilly in meetings, distribute work, complete assigned tasks, etc.). Individual grades for the design projects will be based on the overall team result and observations on teamwork (which may include, but is not limited to, peer evaluations of team members).</w:t>
      </w:r>
    </w:p>
    <w:p w:rsidR="00DE6C89" w:rsidRDefault="00DE6C89" w:rsidP="00DE6C89">
      <w:pPr>
        <w:pStyle w:val="Heading2"/>
      </w:pPr>
      <w:r>
        <w:t>Prepared By</w:t>
      </w:r>
    </w:p>
    <w:p w:rsidR="00DE6C89" w:rsidRDefault="00DE6C89" w:rsidP="00DE6C89">
      <w:r>
        <w:t>Melissa Danforth on July 12, 2014</w:t>
      </w:r>
    </w:p>
    <w:p w:rsidR="00DE6C89" w:rsidRDefault="00DE6C89" w:rsidP="00DE6C89">
      <w:pPr>
        <w:pStyle w:val="Heading2"/>
      </w:pPr>
      <w:r>
        <w:t>Approval</w:t>
      </w:r>
    </w:p>
    <w:p w:rsidR="00DE6C89" w:rsidRDefault="00DE6C89" w:rsidP="00DE6C89">
      <w:r>
        <w:t>Approved by CEE/CS Department on [date]</w:t>
      </w:r>
    </w:p>
    <w:p w:rsidR="00DE6C89" w:rsidRDefault="00DE6C89" w:rsidP="00DE6C89">
      <w:r>
        <w:t>Approved by Physics and Engineering on [date]</w:t>
      </w:r>
    </w:p>
    <w:p w:rsidR="00DE6C89" w:rsidRPr="00DE6C89" w:rsidRDefault="00DE6C89" w:rsidP="00DE6C89">
      <w:r>
        <w:t xml:space="preserve">Effective </w:t>
      </w:r>
      <w:proofErr w:type="gramStart"/>
      <w:r>
        <w:t>Fall</w:t>
      </w:r>
      <w:proofErr w:type="gramEnd"/>
      <w:r>
        <w:t xml:space="preserve"> 2016</w:t>
      </w:r>
      <w:bookmarkStart w:id="0" w:name="_GoBack"/>
      <w:bookmarkEnd w:id="0"/>
    </w:p>
    <w:sectPr w:rsidR="00DE6C89" w:rsidRPr="00DE6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CD"/>
    <w:multiLevelType w:val="hybridMultilevel"/>
    <w:tmpl w:val="88E08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DA"/>
    <w:rsid w:val="00096E6C"/>
    <w:rsid w:val="000A6B0D"/>
    <w:rsid w:val="00171894"/>
    <w:rsid w:val="00361FD9"/>
    <w:rsid w:val="003C5954"/>
    <w:rsid w:val="00502345"/>
    <w:rsid w:val="0066102D"/>
    <w:rsid w:val="0072114C"/>
    <w:rsid w:val="0093024D"/>
    <w:rsid w:val="00931293"/>
    <w:rsid w:val="00A142EE"/>
    <w:rsid w:val="00A33F5A"/>
    <w:rsid w:val="00A34C7F"/>
    <w:rsid w:val="00AA50DA"/>
    <w:rsid w:val="00C6509E"/>
    <w:rsid w:val="00CA3887"/>
    <w:rsid w:val="00DE6C89"/>
    <w:rsid w:val="00E2457C"/>
    <w:rsid w:val="00E9743D"/>
    <w:rsid w:val="00EA0DD3"/>
    <w:rsid w:val="00F5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5476">
      <w:bodyDiv w:val="1"/>
      <w:marLeft w:val="0"/>
      <w:marRight w:val="0"/>
      <w:marTop w:val="0"/>
      <w:marBottom w:val="0"/>
      <w:divBdr>
        <w:top w:val="none" w:sz="0" w:space="0" w:color="auto"/>
        <w:left w:val="none" w:sz="0" w:space="0" w:color="auto"/>
        <w:bottom w:val="none" w:sz="0" w:space="0" w:color="auto"/>
        <w:right w:val="none" w:sz="0" w:space="0" w:color="auto"/>
      </w:divBdr>
    </w:div>
    <w:div w:id="19932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8</cp:revision>
  <dcterms:created xsi:type="dcterms:W3CDTF">2014-07-15T00:45:00Z</dcterms:created>
  <dcterms:modified xsi:type="dcterms:W3CDTF">2014-07-31T03:22:00Z</dcterms:modified>
</cp:coreProperties>
</file>